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akcent11"/>
        <w:tblW w:w="13994" w:type="dxa"/>
        <w:tblInd w:w="0" w:type="dxa"/>
        <w:tblLook w:val="04A0" w:firstRow="1" w:lastRow="0" w:firstColumn="1" w:lastColumn="0" w:noHBand="0" w:noVBand="1"/>
      </w:tblPr>
      <w:tblGrid>
        <w:gridCol w:w="4077"/>
        <w:gridCol w:w="7400"/>
        <w:gridCol w:w="2517"/>
      </w:tblGrid>
      <w:tr w:rsidR="00A652CF" w14:paraId="22EB5E8D" w14:textId="77777777" w:rsidTr="00A6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335C2F9" w14:textId="77777777" w:rsidR="00A652CF" w:rsidRDefault="00A652CF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70AD47" w:themeColor="accent6"/>
                <w:sz w:val="32"/>
                <w:szCs w:val="3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sz w:val="32"/>
                <w:szCs w:val="32"/>
                <w:lang w:eastAsia="pl-PL"/>
              </w:rPr>
              <w:t>REGRANTING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085AA85" w14:textId="77777777" w:rsidR="00A652CF" w:rsidRDefault="00A652C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sz w:val="32"/>
                <w:szCs w:val="3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sz w:val="32"/>
                <w:szCs w:val="32"/>
                <w:lang w:eastAsia="pl-PL"/>
              </w:rPr>
              <w:t>Liczba:</w:t>
            </w:r>
          </w:p>
        </w:tc>
      </w:tr>
      <w:tr w:rsidR="00A652CF" w14:paraId="45A23419" w14:textId="77777777" w:rsidTr="00A652C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A96FD79" w14:textId="77777777" w:rsidR="00A652CF" w:rsidRDefault="00A652C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zorganizowanych wydarzeń kulturalnych i edukacyjnych w ramach dofinansowanego projektu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regrantingowego</w:t>
            </w:r>
            <w:proofErr w:type="spellEnd"/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86DD6A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Łączna liczba zorganizowanych przez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grantobiorcę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wydarzeń kulturalnych i edukacyjnych (np. warsztat, szkolenie, konferencja, festyn, gra terenowa) odbywających się w ramach projektu dofinansowanego w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monitorowania. </w:t>
            </w:r>
          </w:p>
          <w:p w14:paraId="49E9148F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  <w:p w14:paraId="0DC67EC1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 xml:space="preserve">Komentarz: </w:t>
            </w:r>
          </w:p>
          <w:p w14:paraId="12F96C8F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Wydarzenie liczymy jako 1 dzień (np. jeśli mamy cykl składający się z 5 dni pracy to we wskaźniku policzymy go jako 5 wydarzeń).</w:t>
            </w:r>
          </w:p>
          <w:p w14:paraId="05C67781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Za jednostkowe wydarzenie uznajmy 1 dzień gdzie zbieramy tę samą grupę ludzi dla tego samego celu. Opierając się na przykładzie naszego spotkania 20-21 maja: są to dwa wydarzenia, a nie 4 (tyle było osobnych warsztatów/wykładów) ani nie jedno (choć merytorycznie stanowiło całość).</w:t>
            </w:r>
          </w:p>
          <w:p w14:paraId="29E34344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Ów jeden dzień jest niezależny od długości danego spotkania (tak samo traktujemy – dla uproszczenia – spotkanie godzinne, jak i całodniowe).</w:t>
            </w:r>
          </w:p>
          <w:p w14:paraId="0E985269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Cykl warsztatów = tyle wydarzeń, ile dni trwa (chyba, że w danym dniu są dwa różne warsztaty dla różnych grup!)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9E3D4C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1F244584" w14:textId="77777777" w:rsidTr="00A652CF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AB5725A" w14:textId="77777777" w:rsidR="00A652CF" w:rsidRDefault="00A652C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</w:t>
            </w:r>
            <w:r>
              <w:rPr>
                <w:rFonts w:asciiTheme="minorHAnsi" w:eastAsia="Times New Roman" w:hAnsiTheme="minorHAnsi" w:cs="Arial"/>
                <w:color w:val="70AD47" w:themeColor="accent6"/>
                <w:u w:val="single"/>
                <w:lang w:eastAsia="pl-PL"/>
              </w:rPr>
              <w:t>bezpośrednich</w:t>
            </w: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odbiorców projektu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regrantingowego</w:t>
            </w:r>
            <w:proofErr w:type="spellEnd"/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DF0EDA5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Łączna liczba osób, które wzięły udział w wydarzeniach projektu dofinansowanego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monitoringowym.</w:t>
            </w:r>
          </w:p>
          <w:p w14:paraId="3ED98BAA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70AD47" w:themeColor="accent6"/>
                <w:lang w:eastAsia="pl-PL"/>
              </w:rPr>
              <w:t>Odbiorca bezpośredni</w:t>
            </w: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– osoba biorąca udział w działaniach merytorycznych projektu, nie jako widz, ale jako uczestnik działań edukacyjnych.</w:t>
            </w:r>
          </w:p>
          <w:p w14:paraId="3ACFBF7E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</w:t>
            </w:r>
          </w:p>
          <w:p w14:paraId="4EF20A3B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Komentarz:</w:t>
            </w:r>
          </w:p>
          <w:p w14:paraId="367F61E2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 xml:space="preserve">Przykład:  </w:t>
            </w:r>
            <w:r>
              <w:rPr>
                <w:i/>
                <w:noProof/>
                <w:color w:val="70AD47" w:themeColor="accent6"/>
              </w:rPr>
              <w:t xml:space="preserve">(np. przedmiotem projektu regrantingowego jest przygotowanie i wystawienie spektaklu - przygotowuje go 16 młodych ludzi i to są odbiorcy bezposredni projektu; ale produkt finalny obejrzało 100 uczniów z ich LO - i to są odbiorcy pośredni). 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FDAFCE2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63309FC4" w14:textId="77777777" w:rsidTr="00A652C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D8BA382" w14:textId="77777777" w:rsidR="00A652CF" w:rsidRDefault="00A652C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</w:t>
            </w:r>
            <w:r>
              <w:rPr>
                <w:rFonts w:asciiTheme="minorHAnsi" w:eastAsia="Times New Roman" w:hAnsiTheme="minorHAnsi" w:cs="Arial"/>
                <w:color w:val="70AD47" w:themeColor="accent6"/>
                <w:u w:val="single"/>
                <w:lang w:eastAsia="pl-PL"/>
              </w:rPr>
              <w:t>pośrednich</w:t>
            </w: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odbiorców projektu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regrantingowego</w:t>
            </w:r>
            <w:proofErr w:type="spellEnd"/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10C81CE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Łączna liczba osób, które wzięły udział w wydarzeniach projektu dofinansowanego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monitoringowym.</w:t>
            </w:r>
          </w:p>
          <w:p w14:paraId="57DC6B90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70AD47" w:themeColor="accent6"/>
                <w:lang w:eastAsia="pl-PL"/>
              </w:rPr>
              <w:t>Odbiorca pośredni</w:t>
            </w: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– osoba biorąca udział w działaniach merytorycznych projektu jako widz; konsument efektów projektu.</w:t>
            </w:r>
          </w:p>
          <w:p w14:paraId="3E176834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</w:t>
            </w:r>
          </w:p>
          <w:p w14:paraId="23055F9F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t>Komentarz:</w:t>
            </w:r>
          </w:p>
          <w:p w14:paraId="20320A3D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color w:val="70AD47" w:themeColor="accent6"/>
                <w:lang w:eastAsia="pl-PL"/>
              </w:rPr>
              <w:lastRenderedPageBreak/>
              <w:t xml:space="preserve">Przykład:  </w:t>
            </w:r>
            <w:r>
              <w:rPr>
                <w:i/>
                <w:noProof/>
                <w:color w:val="70AD47" w:themeColor="accent6"/>
              </w:rPr>
              <w:t>(np. przedmiotem projektu regrantingowego jest przygotowanie i wystawienie spektaklu - przygotowuje go 16 młodych ludzi i to są odbiorcy bezposredni projektu; ale produkt finalny obejrzało 100 uczniów z ich LO - i to są odbiorcy pośredni).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ABF97D5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66B89833" w14:textId="77777777" w:rsidTr="00A652C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B6E16CA" w14:textId="77777777" w:rsidR="00A652CF" w:rsidRDefault="00A652C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Liczba podmiotów, do których skierowane jest zadanie w ramach projektu</w:t>
            </w: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96D3580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Łączna liczba podmiotów (instytucji, organizacji, etc.),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monitorowania. W tym: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AA3B7A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401964DB" w14:textId="77777777" w:rsidTr="00A652C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B3D769" w14:textId="77777777" w:rsidR="00A652CF" w:rsidRPr="00A652CF" w:rsidRDefault="00A652CF" w:rsidP="00A652C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 w:rsidRPr="00A652CF"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Szkoły i placówki edukacyjno-oświatowe</w:t>
            </w: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85BACC9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szkół i placówek edukacyjno-oświatowych,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monitorowania.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0008C76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22F6085B" w14:textId="77777777" w:rsidTr="00A652C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93F052B" w14:textId="77777777" w:rsidR="00A652CF" w:rsidRPr="00A652CF" w:rsidRDefault="00A652CF" w:rsidP="00A652C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 w:rsidRPr="00A652CF"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Instytucje kultury</w:t>
            </w: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1B613C4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instytucji kultury (tym bibliotek, domów kultury, klubów, świetlic, muzeów, kin, galerii, filharmonii, teatrów),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monitorowania.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1213B8A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5A309CDE" w14:textId="77777777" w:rsidTr="00A652C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3AB6233" w14:textId="77777777" w:rsidR="00A652CF" w:rsidRPr="00A652CF" w:rsidRDefault="00A652CF" w:rsidP="00A652C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 w:rsidRPr="00A652CF"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Organizacje pozarządowe</w:t>
            </w: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0E321E1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organizacji pozarządowych,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monitorowania.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97AF65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5C8EF48F" w14:textId="77777777" w:rsidTr="00A652CF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5FECF10" w14:textId="77777777" w:rsidR="00A652CF" w:rsidRPr="00A652CF" w:rsidRDefault="00A652CF" w:rsidP="00A652C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 w:rsidRPr="00A652CF"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Inne formy organizacyjne oraz osoby fizyczne</w:t>
            </w: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B5A4731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osób fizycznych oraz podmiotów o innej formie organizacyjnej (w tym grupy niesformalizowane),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16A0D5A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  <w:tr w:rsidR="00A652CF" w14:paraId="7AAE9F52" w14:textId="77777777" w:rsidTr="00A652C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348FAFF" w14:textId="77777777" w:rsidR="00A652CF" w:rsidRPr="00A652CF" w:rsidRDefault="00A652CF" w:rsidP="00A652C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 w:rsidRPr="00A652CF"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samorząd lokalny</w:t>
            </w:r>
          </w:p>
          <w:p w14:paraId="51D20744" w14:textId="77777777" w:rsidR="00A652CF" w:rsidRDefault="00A652C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  <w:tc>
          <w:tcPr>
            <w:tcW w:w="74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16D94A6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Liczba samorządów lokalnych (gminnych, powiatowych, wojewódzkich), które były zaangażowane w realizację projektu w ramach </w:t>
            </w:r>
            <w:proofErr w:type="spellStart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>regrantingu</w:t>
            </w:r>
            <w:proofErr w:type="spellEnd"/>
            <w:r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  <w:t xml:space="preserve"> w danym roku monitorowania</w:t>
            </w:r>
          </w:p>
        </w:tc>
        <w:tc>
          <w:tcPr>
            <w:tcW w:w="251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EC48B8" w14:textId="77777777" w:rsidR="00A652CF" w:rsidRDefault="00A652C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70AD47" w:themeColor="accent6"/>
                <w:lang w:eastAsia="pl-PL"/>
              </w:rPr>
            </w:pPr>
          </w:p>
        </w:tc>
      </w:tr>
    </w:tbl>
    <w:p w14:paraId="18230859" w14:textId="77777777" w:rsidR="00A652CF" w:rsidRDefault="00A652CF" w:rsidP="00A652CF"/>
    <w:p w14:paraId="1304060B" w14:textId="77777777" w:rsidR="00A652CF" w:rsidRDefault="00A652CF"/>
    <w:sectPr w:rsidR="00A652CF" w:rsidSect="00A6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C72C0"/>
    <w:multiLevelType w:val="hybridMultilevel"/>
    <w:tmpl w:val="0C6E4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CF"/>
    <w:rsid w:val="004A378E"/>
    <w:rsid w:val="00A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9E1"/>
  <w15:chartTrackingRefBased/>
  <w15:docId w15:val="{A66CCAB4-E264-4566-B792-521206E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CF"/>
    <w:pPr>
      <w:spacing w:line="27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11">
    <w:name w:val="Tabela siatki 1 — jasna — akcent 11"/>
    <w:basedOn w:val="Standardowy"/>
    <w:uiPriority w:val="46"/>
    <w:rsid w:val="00A652C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6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agata.andrasiak@ikm.gda.pl</cp:lastModifiedBy>
  <cp:revision>2</cp:revision>
  <dcterms:created xsi:type="dcterms:W3CDTF">2020-06-23T07:17:00Z</dcterms:created>
  <dcterms:modified xsi:type="dcterms:W3CDTF">2020-06-23T07:17:00Z</dcterms:modified>
</cp:coreProperties>
</file>